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A9B" w:rsidRDefault="00A46A9B" w:rsidP="00A46A9B">
      <w:pPr>
        <w:pStyle w:val="50"/>
        <w:shd w:val="clear" w:color="auto" w:fill="auto"/>
        <w:ind w:left="4600"/>
      </w:pPr>
      <w:r>
        <w:rPr>
          <w:color w:val="000000"/>
          <w:lang w:eastAsia="ru-RU" w:bidi="ru-RU"/>
        </w:rPr>
        <w:t>Анализ</w:t>
      </w:r>
    </w:p>
    <w:p w:rsidR="00A46A9B" w:rsidRDefault="00A46A9B" w:rsidP="00A46A9B">
      <w:pPr>
        <w:pStyle w:val="50"/>
        <w:shd w:val="clear" w:color="auto" w:fill="auto"/>
        <w:spacing w:after="240"/>
        <w:ind w:left="20"/>
        <w:jc w:val="center"/>
      </w:pPr>
      <w:r>
        <w:rPr>
          <w:color w:val="000000"/>
          <w:lang w:eastAsia="ru-RU" w:bidi="ru-RU"/>
        </w:rPr>
        <w:t>состояния детского дорожно-транспортного травматизма на</w:t>
      </w:r>
      <w:r>
        <w:rPr>
          <w:color w:val="000000"/>
          <w:lang w:eastAsia="ru-RU" w:bidi="ru-RU"/>
        </w:rPr>
        <w:br/>
        <w:t>территории Алтайского края и Зарайского района</w:t>
      </w:r>
      <w:r>
        <w:rPr>
          <w:color w:val="000000"/>
          <w:lang w:eastAsia="ru-RU" w:bidi="ru-RU"/>
        </w:rPr>
        <w:br/>
        <w:t>за 12 месяцев 2020 года</w:t>
      </w:r>
    </w:p>
    <w:p w:rsidR="00A46A9B" w:rsidRPr="00A46A9B" w:rsidRDefault="00A46A9B" w:rsidP="00A46A9B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A46A9B">
        <w:rPr>
          <w:rFonts w:ascii="Times New Roman" w:hAnsi="Times New Roman" w:cs="Times New Roman"/>
          <w:sz w:val="26"/>
          <w:szCs w:val="26"/>
        </w:rPr>
        <w:t xml:space="preserve">За 12 месяцев 2020 года на территории Алтайского края количество ДТП с участием детей и подростков до 16 лет снизилось на </w:t>
      </w:r>
      <w:r w:rsidRPr="00A46A9B">
        <w:rPr>
          <w:rStyle w:val="20"/>
          <w:rFonts w:eastAsia="Microsoft Sans Serif"/>
          <w:sz w:val="26"/>
          <w:szCs w:val="26"/>
        </w:rPr>
        <w:t>7,67 %</w:t>
      </w:r>
      <w:r w:rsidRPr="00A46A9B">
        <w:rPr>
          <w:rFonts w:ascii="Times New Roman" w:hAnsi="Times New Roman" w:cs="Times New Roman"/>
          <w:sz w:val="26"/>
          <w:szCs w:val="26"/>
        </w:rPr>
        <w:t xml:space="preserve"> (с 391 до 361), число раненых детей уменьшилось на 7,48 </w:t>
      </w:r>
      <w:r w:rsidRPr="00A46A9B">
        <w:rPr>
          <w:rStyle w:val="20"/>
          <w:rFonts w:eastAsia="Microsoft Sans Serif"/>
          <w:sz w:val="26"/>
          <w:szCs w:val="26"/>
        </w:rPr>
        <w:t>%</w:t>
      </w:r>
      <w:r w:rsidRPr="00A46A9B">
        <w:rPr>
          <w:rFonts w:ascii="Times New Roman" w:hAnsi="Times New Roman" w:cs="Times New Roman"/>
          <w:sz w:val="26"/>
          <w:szCs w:val="26"/>
        </w:rPr>
        <w:t xml:space="preserve"> (с 414 до 383), погибло 8 (2019- 12,- 33,3 %).</w:t>
      </w:r>
    </w:p>
    <w:p w:rsidR="00A46A9B" w:rsidRPr="00A46A9B" w:rsidRDefault="00A46A9B" w:rsidP="00A46A9B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A46A9B">
        <w:rPr>
          <w:rFonts w:ascii="Times New Roman" w:hAnsi="Times New Roman" w:cs="Times New Roman"/>
          <w:sz w:val="26"/>
          <w:szCs w:val="26"/>
        </w:rPr>
        <w:t>С участием детей-пешеходов зарегистрировано 144 ДТП (2019 - 168, -14,29 %), пострадало 143 ребенка (2019 - 167, -14,37 %), погибло 3 (2019- 1,200,0%).</w:t>
      </w:r>
    </w:p>
    <w:p w:rsidR="00A46A9B" w:rsidRPr="00A46A9B" w:rsidRDefault="00A46A9B" w:rsidP="00A46A9B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A46A9B">
        <w:rPr>
          <w:rFonts w:ascii="Times New Roman" w:hAnsi="Times New Roman" w:cs="Times New Roman"/>
          <w:sz w:val="26"/>
          <w:szCs w:val="26"/>
        </w:rPr>
        <w:t>На пешеходных переходах в 69 ДТП (2019 - 89, -22,47 %) пострадало 69 детей-пешеходов (2019 - 89, -22,47 %), погиб 1 (2019 - 0, 100,0 %). В качестве пассажира до 16 лет в 149 ДТП (2019 - 185, -19,46 %) пострадало 169 детей-пассажиров (2019 - 209, -19,13 %), погибло 5 (2019 - 10, -50,0 %). При нарушении водителями правил перевозки детей (без ремней безопасности или удерживающих устройств) в 17 ДТП (2019 - 26, -32,62 %), ранено 16 детей (2019-29, -44,82 %), погибло 3 (2019-2, 50,0 %).</w:t>
      </w:r>
    </w:p>
    <w:p w:rsidR="00A46A9B" w:rsidRPr="00A46A9B" w:rsidRDefault="00A46A9B" w:rsidP="00A46A9B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A46A9B">
        <w:rPr>
          <w:rFonts w:ascii="Times New Roman" w:hAnsi="Times New Roman" w:cs="Times New Roman"/>
          <w:sz w:val="26"/>
          <w:szCs w:val="26"/>
        </w:rPr>
        <w:t>С участием детей по их неосторожности зарегистрировано 99 ДТП (2019 - 86,15,12 %), в которых пострадало 98 детей (2019 - 85, 15,29 %), погиб 1 (2019- 1,0,00 %).</w:t>
      </w:r>
    </w:p>
    <w:p w:rsidR="00A46A9B" w:rsidRPr="00A46A9B" w:rsidRDefault="00A46A9B" w:rsidP="00A46A9B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A46A9B">
        <w:rPr>
          <w:rFonts w:ascii="Times New Roman" w:hAnsi="Times New Roman" w:cs="Times New Roman"/>
          <w:sz w:val="26"/>
          <w:szCs w:val="26"/>
        </w:rPr>
        <w:t>С участием водителей механических транспортных средств зарегистрировано 11 ДТП (2019 - 6, 83,3 %), в которых пострадало 11 детей (2019 - 6, 83,3 %), погибших нет.</w:t>
      </w:r>
    </w:p>
    <w:p w:rsidR="00A46A9B" w:rsidRPr="00A46A9B" w:rsidRDefault="00A46A9B" w:rsidP="00A46A9B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A46A9B">
        <w:rPr>
          <w:rFonts w:ascii="Times New Roman" w:hAnsi="Times New Roman" w:cs="Times New Roman"/>
          <w:sz w:val="26"/>
          <w:szCs w:val="26"/>
        </w:rPr>
        <w:t xml:space="preserve">С участием детей-велосипедистов зарегистрировано 39 ДТП (2019 -21, 85,7 %), в которых пострадало 39 детей (2019 - 21), погибших нет (2019 - 0, </w:t>
      </w:r>
      <w:r w:rsidRPr="00A46A9B">
        <w:rPr>
          <w:rStyle w:val="21"/>
          <w:rFonts w:eastAsia="Microsoft Sans Serif"/>
          <w:sz w:val="26"/>
          <w:szCs w:val="26"/>
        </w:rPr>
        <w:t>0,00</w:t>
      </w:r>
      <w:r w:rsidRPr="00A46A9B">
        <w:rPr>
          <w:rStyle w:val="216pt"/>
          <w:rFonts w:eastAsia="Microsoft Sans Serif"/>
          <w:sz w:val="26"/>
          <w:szCs w:val="26"/>
        </w:rPr>
        <w:t xml:space="preserve"> %).</w:t>
      </w:r>
    </w:p>
    <w:p w:rsidR="00A46A9B" w:rsidRPr="00A46A9B" w:rsidRDefault="00A46A9B" w:rsidP="00A46A9B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A46A9B">
        <w:rPr>
          <w:rFonts w:ascii="Times New Roman" w:hAnsi="Times New Roman" w:cs="Times New Roman"/>
          <w:sz w:val="26"/>
          <w:szCs w:val="26"/>
        </w:rPr>
        <w:t>Зарегистрировано 454 ДТП (2019 - 493, -7,91 %) с участием несовершеннолетних до 18 лет, в которых пострадали 488 (2019 - 530, -7,92%), погибло 12 (2019 - 14, -14,29 %), из них из-за нарушения ПДД водителями транспортных средств в 359 ДТП (2019 - 409, -12,22 %), пострадало 394 несовершеннолетних (2019 - 445, -11,46 %), погибло 11 (2019 - 13,-15,38 %).</w:t>
      </w:r>
    </w:p>
    <w:p w:rsidR="00A46A9B" w:rsidRPr="00A46A9B" w:rsidRDefault="00A46A9B" w:rsidP="00A46A9B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A46A9B">
        <w:rPr>
          <w:rFonts w:ascii="Times New Roman" w:hAnsi="Times New Roman" w:cs="Times New Roman"/>
          <w:sz w:val="26"/>
          <w:szCs w:val="26"/>
        </w:rPr>
        <w:t>На территории Зарикского района за 12 месяцев 2020 года с участием детей-пешеходов ДТП не зарегистрировано (2019 - 0). С участием детей- пассажиров зарегистрировано 3 ДТП (2019 - 2). При нарушении водителями правил перевозки детей (без ремней безопасности или удерживающих устройств) зарегистрировано 1 ДТП (2019 - 1), погибших нет (2019 - 1).</w:t>
      </w:r>
    </w:p>
    <w:p w:rsidR="00A46A9B" w:rsidRPr="00A46A9B" w:rsidRDefault="00A46A9B" w:rsidP="00A46A9B">
      <w:pPr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A46A9B">
        <w:rPr>
          <w:rFonts w:ascii="Times New Roman" w:hAnsi="Times New Roman" w:cs="Times New Roman"/>
          <w:sz w:val="26"/>
          <w:szCs w:val="26"/>
        </w:rPr>
        <w:t>С целью профилактики детского дорожно-транспортного травматизма необходимо организовать и провести силами Госавтоинспекции, педагогических работников, сформированных групп «Родительский патруль», представителей средств массовой информации целенаправленные мероприятия по профилактике нарушений водителями правил перевозки детей, Правил дорожного движения пешеходами, а также по популяризации</w:t>
      </w:r>
      <w:bookmarkStart w:id="0" w:name="_GoBack"/>
      <w:bookmarkEnd w:id="0"/>
      <w:r w:rsidRPr="00A46A9B">
        <w:rPr>
          <w:rFonts w:ascii="Times New Roman" w:hAnsi="Times New Roman" w:cs="Times New Roman"/>
          <w:sz w:val="26"/>
          <w:szCs w:val="26"/>
        </w:rPr>
        <w:t xml:space="preserve"> использования несовершеннолетними световозвращающих элементов. </w:t>
      </w:r>
    </w:p>
    <w:p w:rsidR="00AC3449" w:rsidRDefault="00AC3449"/>
    <w:sectPr w:rsidR="00AC3449" w:rsidSect="00A46A9B">
      <w:headerReference w:type="even" r:id="rId4"/>
      <w:pgSz w:w="11900" w:h="16840"/>
      <w:pgMar w:top="567" w:right="551" w:bottom="418" w:left="169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FA6" w:rsidRDefault="00A46A9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6113780</wp:posOffset>
              </wp:positionH>
              <wp:positionV relativeFrom="page">
                <wp:posOffset>605790</wp:posOffset>
              </wp:positionV>
              <wp:extent cx="961390" cy="204470"/>
              <wp:effectExtent l="0" t="0" r="635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139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6FA6" w:rsidRDefault="00A46A9B">
                          <w:r>
                            <w:rPr>
                              <w:rStyle w:val="a4"/>
                              <w:rFonts w:eastAsia="Microsoft Sans Serif"/>
                            </w:rPr>
                            <w:t>Приложение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1.4pt;margin-top:47.7pt;width:75.7pt;height:16.1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" filled="f" stroked="f">
              <v:textbox style="mso-fit-shape-to-text:t" inset="0,0,0,0">
                <w:txbxContent>
                  <w:p w:rsidR="00246FA6" w:rsidRDefault="00A46A9B">
                    <w:r>
                      <w:rPr>
                        <w:rStyle w:val="a4"/>
                        <w:rFonts w:eastAsia="Microsoft Sans Serif"/>
                      </w:rPr>
                      <w:t>Приложение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5B0"/>
    <w:rsid w:val="001A45B0"/>
    <w:rsid w:val="00A46A9B"/>
    <w:rsid w:val="00AC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DBFAC6-0E5D-45B9-9907-CBE15986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46A9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A46A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A46A9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rsid w:val="00A46A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"/>
    <w:basedOn w:val="a3"/>
    <w:rsid w:val="00A46A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Курсив"/>
    <w:basedOn w:val="2"/>
    <w:rsid w:val="00A46A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A46A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6pt">
    <w:name w:val="Основной текст (2) + 16 pt"/>
    <w:basedOn w:val="2"/>
    <w:rsid w:val="00A46A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A46A9B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Старыгина Ирина Николаевна</dc:creator>
  <cp:keywords/>
  <dc:description/>
  <cp:lastModifiedBy>Старыгина Ирина Николаевна</cp:lastModifiedBy>
  <cp:revision>2</cp:revision>
  <dcterms:created xsi:type="dcterms:W3CDTF">2021-02-11T08:01:00Z</dcterms:created>
  <dcterms:modified xsi:type="dcterms:W3CDTF">2021-02-11T08:02:00Z</dcterms:modified>
</cp:coreProperties>
</file>